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9408" w14:textId="77777777" w:rsidR="00891B01" w:rsidRPr="00D61D23" w:rsidRDefault="00891B01" w:rsidP="0003039D">
      <w:pPr>
        <w:pStyle w:val="Overskrift1"/>
      </w:pPr>
    </w:p>
    <w:p w14:paraId="7008C4FE" w14:textId="77777777" w:rsidR="00891B01" w:rsidRPr="00D61D23" w:rsidRDefault="00891B01" w:rsidP="0003039D">
      <w:pPr>
        <w:pStyle w:val="Overskrift1"/>
      </w:pPr>
    </w:p>
    <w:p w14:paraId="3AC7837B" w14:textId="77777777" w:rsidR="00891B01" w:rsidRPr="00D61D23" w:rsidRDefault="00891B01" w:rsidP="0003039D">
      <w:pPr>
        <w:pStyle w:val="Overskrift1"/>
      </w:pPr>
    </w:p>
    <w:p w14:paraId="49FB044F" w14:textId="77777777" w:rsidR="00891B01" w:rsidRPr="00D61D23" w:rsidRDefault="00891B01" w:rsidP="0003039D">
      <w:pPr>
        <w:pStyle w:val="Overskrift1"/>
      </w:pPr>
    </w:p>
    <w:p w14:paraId="001B8121" w14:textId="32287D6A" w:rsidR="00891B01" w:rsidRPr="00D61D23" w:rsidRDefault="00891B01" w:rsidP="00FB5B1F">
      <w:pPr>
        <w:jc w:val="center"/>
      </w:pPr>
      <w:r w:rsidRPr="00D61D23">
        <w:rPr>
          <w:noProof/>
        </w:rPr>
        <w:drawing>
          <wp:inline distT="0" distB="0" distL="0" distR="0" wp14:anchorId="566010BE" wp14:editId="47A7D4D2">
            <wp:extent cx="1798320" cy="9804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_5c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4F01" w14:textId="77777777" w:rsidR="00C5226A" w:rsidRDefault="00C5226A" w:rsidP="00C5226A">
      <w:pPr>
        <w:pStyle w:val="Overskrift1"/>
        <w:jc w:val="center"/>
      </w:pPr>
    </w:p>
    <w:p w14:paraId="17A5B50A" w14:textId="1158BA14" w:rsidR="00C5226A" w:rsidRPr="0099783D" w:rsidRDefault="002066DE" w:rsidP="0099783D">
      <w:pPr>
        <w:jc w:val="center"/>
        <w:rPr>
          <w:b/>
          <w:sz w:val="44"/>
        </w:rPr>
      </w:pPr>
      <w:r w:rsidRPr="0099783D">
        <w:rPr>
          <w:b/>
          <w:sz w:val="44"/>
        </w:rPr>
        <w:t>NORSK MANUELLTERAPEUTFORENING</w:t>
      </w:r>
    </w:p>
    <w:p w14:paraId="546663CE" w14:textId="25E48131" w:rsidR="00C554D0" w:rsidRPr="0099783D" w:rsidRDefault="0077545E" w:rsidP="0099783D">
      <w:pPr>
        <w:jc w:val="center"/>
        <w:rPr>
          <w:b/>
          <w:sz w:val="44"/>
        </w:rPr>
      </w:pPr>
      <w:r>
        <w:rPr>
          <w:b/>
          <w:sz w:val="44"/>
        </w:rPr>
        <w:t>Kriterier for f</w:t>
      </w:r>
      <w:r w:rsidR="00C554D0" w:rsidRPr="0099783D">
        <w:rPr>
          <w:b/>
          <w:sz w:val="44"/>
        </w:rPr>
        <w:t xml:space="preserve">ornyet </w:t>
      </w:r>
      <w:r>
        <w:rPr>
          <w:b/>
          <w:sz w:val="44"/>
        </w:rPr>
        <w:t>spesialist</w:t>
      </w:r>
      <w:r w:rsidR="00C554D0" w:rsidRPr="0099783D">
        <w:rPr>
          <w:b/>
          <w:sz w:val="44"/>
        </w:rPr>
        <w:t>godkjenning</w:t>
      </w:r>
    </w:p>
    <w:p w14:paraId="770FC2B4" w14:textId="77777777" w:rsidR="00C554D0" w:rsidRPr="00D61D23" w:rsidRDefault="00C554D0" w:rsidP="0003039D"/>
    <w:p w14:paraId="34D0C505" w14:textId="77777777" w:rsidR="00891B01" w:rsidRPr="00D61D23" w:rsidRDefault="00891B01" w:rsidP="0003039D">
      <w:r w:rsidRPr="00D61D23">
        <w:br w:type="page"/>
      </w:r>
    </w:p>
    <w:sdt>
      <w:sdtPr>
        <w:rPr>
          <w:rFonts w:asciiTheme="minorHAnsi" w:eastAsia="Times New Roman" w:hAnsiTheme="minorHAnsi" w:cstheme="minorHAnsi"/>
          <w:color w:val="000000"/>
          <w:sz w:val="22"/>
          <w:szCs w:val="24"/>
          <w:lang w:eastAsia="en-US"/>
        </w:rPr>
        <w:id w:val="66158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3CCB82" w14:textId="77777777" w:rsidR="00E74213" w:rsidRDefault="00E74213" w:rsidP="00882BAA">
          <w:pPr>
            <w:pStyle w:val="Overskriftforinnholdsfortegnelse"/>
            <w:jc w:val="center"/>
          </w:pPr>
        </w:p>
        <w:p w14:paraId="4171D69D" w14:textId="77777777" w:rsidR="00E74213" w:rsidRDefault="00E74213" w:rsidP="00882BAA">
          <w:pPr>
            <w:pStyle w:val="Overskriftforinnholdsfortegnelse"/>
            <w:jc w:val="center"/>
            <w:rPr>
              <w:b/>
              <w:sz w:val="44"/>
            </w:rPr>
          </w:pPr>
        </w:p>
        <w:p w14:paraId="73F61533" w14:textId="77777777" w:rsidR="00E74213" w:rsidRDefault="00E74213" w:rsidP="00882BAA">
          <w:pPr>
            <w:pStyle w:val="Overskriftforinnholdsfortegnelse"/>
            <w:jc w:val="center"/>
            <w:rPr>
              <w:b/>
              <w:sz w:val="44"/>
            </w:rPr>
          </w:pPr>
        </w:p>
        <w:p w14:paraId="673662FD" w14:textId="77777777" w:rsidR="00E74213" w:rsidRDefault="00E74213" w:rsidP="00882BAA">
          <w:pPr>
            <w:pStyle w:val="Overskriftforinnholdsfortegnelse"/>
            <w:jc w:val="center"/>
            <w:rPr>
              <w:b/>
              <w:sz w:val="44"/>
            </w:rPr>
          </w:pPr>
        </w:p>
        <w:p w14:paraId="67216164" w14:textId="42984907" w:rsidR="00FB5B1F" w:rsidRDefault="00FB5B1F" w:rsidP="00882BAA">
          <w:pPr>
            <w:pStyle w:val="Overskriftforinnholdsfortegnelse"/>
            <w:jc w:val="center"/>
            <w:rPr>
              <w:b/>
              <w:sz w:val="44"/>
            </w:rPr>
          </w:pPr>
          <w:r w:rsidRPr="00882BAA">
            <w:rPr>
              <w:b/>
              <w:sz w:val="44"/>
            </w:rPr>
            <w:t>Innhold</w:t>
          </w:r>
        </w:p>
        <w:p w14:paraId="36B92C59" w14:textId="58E8E98E" w:rsidR="00882BAA" w:rsidRDefault="00882BAA" w:rsidP="00882BAA">
          <w:pPr>
            <w:rPr>
              <w:lang w:eastAsia="nb-NO"/>
            </w:rPr>
          </w:pPr>
        </w:p>
        <w:p w14:paraId="7A54C079" w14:textId="77777777" w:rsidR="00882BAA" w:rsidRPr="00882BAA" w:rsidRDefault="00882BAA" w:rsidP="00882BAA">
          <w:pPr>
            <w:rPr>
              <w:lang w:eastAsia="nb-NO"/>
            </w:rPr>
          </w:pPr>
        </w:p>
        <w:p w14:paraId="4EFB08CE" w14:textId="2C6B2F93" w:rsidR="00705C00" w:rsidRDefault="00FB5B1F">
          <w:pPr>
            <w:pStyle w:val="INNH1"/>
            <w:rPr>
              <w:rFonts w:eastAsiaTheme="minorEastAsia" w:cstheme="minorBidi"/>
              <w:noProof/>
              <w:color w:val="auto"/>
              <w:szCs w:val="22"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3093267" w:history="1">
            <w:r w:rsidR="00705C00" w:rsidRPr="000F7883">
              <w:rPr>
                <w:rStyle w:val="Hyperkobling"/>
                <w:noProof/>
              </w:rPr>
              <w:t>GENERELT</w:t>
            </w:r>
            <w:r w:rsidR="00705C00">
              <w:rPr>
                <w:noProof/>
                <w:webHidden/>
              </w:rPr>
              <w:tab/>
            </w:r>
            <w:r w:rsidR="00705C00">
              <w:rPr>
                <w:noProof/>
                <w:webHidden/>
              </w:rPr>
              <w:fldChar w:fldCharType="begin"/>
            </w:r>
            <w:r w:rsidR="00705C00">
              <w:rPr>
                <w:noProof/>
                <w:webHidden/>
              </w:rPr>
              <w:instrText xml:space="preserve"> PAGEREF _Toc533093267 \h </w:instrText>
            </w:r>
            <w:r w:rsidR="00705C00">
              <w:rPr>
                <w:noProof/>
                <w:webHidden/>
              </w:rPr>
            </w:r>
            <w:r w:rsidR="00705C00">
              <w:rPr>
                <w:noProof/>
                <w:webHidden/>
              </w:rPr>
              <w:fldChar w:fldCharType="separate"/>
            </w:r>
            <w:r w:rsidR="00705C00">
              <w:rPr>
                <w:noProof/>
                <w:webHidden/>
              </w:rPr>
              <w:t>3</w:t>
            </w:r>
            <w:r w:rsidR="00705C00">
              <w:rPr>
                <w:noProof/>
                <w:webHidden/>
              </w:rPr>
              <w:fldChar w:fldCharType="end"/>
            </w:r>
          </w:hyperlink>
        </w:p>
        <w:p w14:paraId="0F8DAF11" w14:textId="5B4286E8" w:rsidR="00705C00" w:rsidRDefault="0023644A">
          <w:pPr>
            <w:pStyle w:val="INNH1"/>
            <w:rPr>
              <w:rFonts w:eastAsiaTheme="minorEastAsia" w:cstheme="minorBidi"/>
              <w:noProof/>
              <w:color w:val="auto"/>
              <w:szCs w:val="22"/>
              <w:lang w:eastAsia="nb-NO"/>
            </w:rPr>
          </w:pPr>
          <w:hyperlink w:anchor="_Toc533093268" w:history="1">
            <w:r w:rsidR="00705C00" w:rsidRPr="000F7883">
              <w:rPr>
                <w:rStyle w:val="Hyperkobling"/>
                <w:noProof/>
              </w:rPr>
              <w:t>SPESIALISTPRAKSIS – 2 ÅRSVERK</w:t>
            </w:r>
            <w:r w:rsidR="00705C00">
              <w:rPr>
                <w:noProof/>
                <w:webHidden/>
              </w:rPr>
              <w:tab/>
            </w:r>
            <w:r w:rsidR="00705C00">
              <w:rPr>
                <w:noProof/>
                <w:webHidden/>
              </w:rPr>
              <w:fldChar w:fldCharType="begin"/>
            </w:r>
            <w:r w:rsidR="00705C00">
              <w:rPr>
                <w:noProof/>
                <w:webHidden/>
              </w:rPr>
              <w:instrText xml:space="preserve"> PAGEREF _Toc533093268 \h </w:instrText>
            </w:r>
            <w:r w:rsidR="00705C00">
              <w:rPr>
                <w:noProof/>
                <w:webHidden/>
              </w:rPr>
            </w:r>
            <w:r w:rsidR="00705C00">
              <w:rPr>
                <w:noProof/>
                <w:webHidden/>
              </w:rPr>
              <w:fldChar w:fldCharType="separate"/>
            </w:r>
            <w:r w:rsidR="00705C00">
              <w:rPr>
                <w:noProof/>
                <w:webHidden/>
              </w:rPr>
              <w:t>4</w:t>
            </w:r>
            <w:r w:rsidR="00705C00">
              <w:rPr>
                <w:noProof/>
                <w:webHidden/>
              </w:rPr>
              <w:fldChar w:fldCharType="end"/>
            </w:r>
          </w:hyperlink>
        </w:p>
        <w:p w14:paraId="4981C5B0" w14:textId="0FF32B50" w:rsidR="00705C00" w:rsidRDefault="0023644A">
          <w:pPr>
            <w:pStyle w:val="INNH1"/>
            <w:rPr>
              <w:rFonts w:eastAsiaTheme="minorEastAsia" w:cstheme="minorBidi"/>
              <w:noProof/>
              <w:color w:val="auto"/>
              <w:szCs w:val="22"/>
              <w:lang w:eastAsia="nb-NO"/>
            </w:rPr>
          </w:pPr>
          <w:hyperlink w:anchor="_Toc533093269" w:history="1">
            <w:r w:rsidR="00705C00" w:rsidRPr="000F7883">
              <w:rPr>
                <w:rStyle w:val="Hyperkobling"/>
                <w:bCs/>
                <w:noProof/>
              </w:rPr>
              <w:t>ETTER- OG VIDEREUTDANNING – 100 TIMER</w:t>
            </w:r>
            <w:r w:rsidR="00705C00">
              <w:rPr>
                <w:noProof/>
                <w:webHidden/>
              </w:rPr>
              <w:tab/>
            </w:r>
            <w:r w:rsidR="00705C00">
              <w:rPr>
                <w:noProof/>
                <w:webHidden/>
              </w:rPr>
              <w:fldChar w:fldCharType="begin"/>
            </w:r>
            <w:r w:rsidR="00705C00">
              <w:rPr>
                <w:noProof/>
                <w:webHidden/>
              </w:rPr>
              <w:instrText xml:space="preserve"> PAGEREF _Toc533093269 \h </w:instrText>
            </w:r>
            <w:r w:rsidR="00705C00">
              <w:rPr>
                <w:noProof/>
                <w:webHidden/>
              </w:rPr>
            </w:r>
            <w:r w:rsidR="00705C00">
              <w:rPr>
                <w:noProof/>
                <w:webHidden/>
              </w:rPr>
              <w:fldChar w:fldCharType="separate"/>
            </w:r>
            <w:r w:rsidR="00705C00">
              <w:rPr>
                <w:noProof/>
                <w:webHidden/>
              </w:rPr>
              <w:t>4</w:t>
            </w:r>
            <w:r w:rsidR="00705C00">
              <w:rPr>
                <w:noProof/>
                <w:webHidden/>
              </w:rPr>
              <w:fldChar w:fldCharType="end"/>
            </w:r>
          </w:hyperlink>
        </w:p>
        <w:p w14:paraId="1289D8B7" w14:textId="57144B9C" w:rsidR="00705C00" w:rsidRDefault="0023644A">
          <w:pPr>
            <w:pStyle w:val="INNH1"/>
            <w:rPr>
              <w:rFonts w:eastAsiaTheme="minorEastAsia" w:cstheme="minorBidi"/>
              <w:noProof/>
              <w:color w:val="auto"/>
              <w:szCs w:val="22"/>
              <w:lang w:eastAsia="nb-NO"/>
            </w:rPr>
          </w:pPr>
          <w:hyperlink w:anchor="_Toc533093270" w:history="1">
            <w:r w:rsidR="00705C00" w:rsidRPr="000F7883">
              <w:rPr>
                <w:rStyle w:val="Hyperkobling"/>
                <w:noProof/>
              </w:rPr>
              <w:t>PRAKSISORIENTERT KOLLEGASAMARBEID  – TIL SAMMEN 80 TIMER</w:t>
            </w:r>
            <w:r w:rsidR="00705C00">
              <w:rPr>
                <w:noProof/>
                <w:webHidden/>
              </w:rPr>
              <w:tab/>
            </w:r>
            <w:r w:rsidR="00705C00">
              <w:rPr>
                <w:noProof/>
                <w:webHidden/>
              </w:rPr>
              <w:fldChar w:fldCharType="begin"/>
            </w:r>
            <w:r w:rsidR="00705C00">
              <w:rPr>
                <w:noProof/>
                <w:webHidden/>
              </w:rPr>
              <w:instrText xml:space="preserve"> PAGEREF _Toc533093270 \h </w:instrText>
            </w:r>
            <w:r w:rsidR="00705C00">
              <w:rPr>
                <w:noProof/>
                <w:webHidden/>
              </w:rPr>
            </w:r>
            <w:r w:rsidR="00705C00">
              <w:rPr>
                <w:noProof/>
                <w:webHidden/>
              </w:rPr>
              <w:fldChar w:fldCharType="separate"/>
            </w:r>
            <w:r w:rsidR="00705C00">
              <w:rPr>
                <w:noProof/>
                <w:webHidden/>
              </w:rPr>
              <w:t>5</w:t>
            </w:r>
            <w:r w:rsidR="00705C00">
              <w:rPr>
                <w:noProof/>
                <w:webHidden/>
              </w:rPr>
              <w:fldChar w:fldCharType="end"/>
            </w:r>
          </w:hyperlink>
        </w:p>
        <w:p w14:paraId="06A2224E" w14:textId="2BC09E27" w:rsidR="00FB5B1F" w:rsidRDefault="00FB5B1F">
          <w:r>
            <w:rPr>
              <w:b/>
              <w:bCs/>
            </w:rPr>
            <w:fldChar w:fldCharType="end"/>
          </w:r>
        </w:p>
      </w:sdtContent>
    </w:sdt>
    <w:p w14:paraId="684DE2DE" w14:textId="77777777" w:rsidR="0099783D" w:rsidRPr="0099783D" w:rsidRDefault="0099783D" w:rsidP="0099783D"/>
    <w:p w14:paraId="25BE4F00" w14:textId="10E96CA0" w:rsidR="008B5654" w:rsidRPr="00D61D23" w:rsidRDefault="008B5654" w:rsidP="0003039D"/>
    <w:p w14:paraId="65F8DD63" w14:textId="77777777" w:rsidR="008B5654" w:rsidRPr="00D61D23" w:rsidRDefault="008B5654" w:rsidP="0003039D"/>
    <w:p w14:paraId="1408C62A" w14:textId="77777777" w:rsidR="008B5654" w:rsidRPr="00D61D23" w:rsidRDefault="008B5654" w:rsidP="0003039D"/>
    <w:p w14:paraId="339805AA" w14:textId="77777777" w:rsidR="008B5654" w:rsidRPr="00D61D23" w:rsidRDefault="008B5654" w:rsidP="0003039D">
      <w:r w:rsidRPr="00D61D23">
        <w:br w:type="page"/>
      </w:r>
    </w:p>
    <w:p w14:paraId="103435AE" w14:textId="3DFA6DE3" w:rsidR="0017497A" w:rsidRPr="00D61D23" w:rsidRDefault="0017497A" w:rsidP="0003039D">
      <w:pPr>
        <w:pStyle w:val="Overskrift1"/>
      </w:pPr>
      <w:bookmarkStart w:id="0" w:name="_Toc533093267"/>
      <w:r w:rsidRPr="00D61D23">
        <w:lastRenderedPageBreak/>
        <w:t>G</w:t>
      </w:r>
      <w:r w:rsidR="00D61D23">
        <w:t>ENERELT</w:t>
      </w:r>
      <w:bookmarkEnd w:id="0"/>
    </w:p>
    <w:p w14:paraId="32AD70AC" w14:textId="3E6A5463" w:rsidR="00C554D0" w:rsidRPr="00D61D23" w:rsidRDefault="00C554D0" w:rsidP="0003039D">
      <w:r w:rsidRPr="00D61D23">
        <w:t xml:space="preserve">Tidsbegrenset godkjenning sikrer kvaliteten av kunnskaper og praksis hos den enkelte spesialist, og dermed for spesialistordningen som helhet. Ordningen med fornyet godkjenning skal sikre at spesialistene holder seg à jour med det som foregår innen faget. </w:t>
      </w:r>
      <w:r w:rsidRPr="00D61D23">
        <w:br/>
      </w:r>
      <w:r w:rsidRPr="00D61D23">
        <w:br/>
        <w:t xml:space="preserve">For å få fornyet godkjenningen kreves det: </w:t>
      </w:r>
    </w:p>
    <w:p w14:paraId="42C844EF" w14:textId="77777777" w:rsidR="00C554D0" w:rsidRPr="00D61D23" w:rsidRDefault="00C554D0" w:rsidP="0003039D">
      <w:pPr>
        <w:pStyle w:val="Listeavsnitt"/>
        <w:numPr>
          <w:ilvl w:val="0"/>
          <w:numId w:val="1"/>
        </w:numPr>
      </w:pPr>
      <w:r w:rsidRPr="00D61D23">
        <w:t xml:space="preserve">Spesialistpraksis. </w:t>
      </w:r>
    </w:p>
    <w:p w14:paraId="1809657C" w14:textId="77777777" w:rsidR="00C554D0" w:rsidRPr="00D61D23" w:rsidRDefault="00C554D0" w:rsidP="0003039D">
      <w:pPr>
        <w:pStyle w:val="Listeavsnitt"/>
        <w:numPr>
          <w:ilvl w:val="0"/>
          <w:numId w:val="1"/>
        </w:numPr>
      </w:pPr>
      <w:r w:rsidRPr="00D61D23">
        <w:t>Ajourføring av utdanning</w:t>
      </w:r>
      <w:r w:rsidR="007103E2" w:rsidRPr="00D61D23">
        <w:t xml:space="preserve"> (etter- og videreutdanning)</w:t>
      </w:r>
      <w:r w:rsidRPr="00D61D23">
        <w:t xml:space="preserve">. </w:t>
      </w:r>
    </w:p>
    <w:p w14:paraId="3B8705A9" w14:textId="77777777" w:rsidR="00C554D0" w:rsidRPr="00D61D23" w:rsidRDefault="00C554D0" w:rsidP="0003039D">
      <w:pPr>
        <w:pStyle w:val="Listeavsnitt"/>
        <w:numPr>
          <w:ilvl w:val="0"/>
          <w:numId w:val="1"/>
        </w:numPr>
      </w:pPr>
      <w:r w:rsidRPr="00D61D23">
        <w:t xml:space="preserve">Praksisorientert kollegasamarbeid. </w:t>
      </w:r>
    </w:p>
    <w:p w14:paraId="45F10667" w14:textId="7D33E3F2" w:rsidR="0035325A" w:rsidRPr="00D61D23" w:rsidRDefault="00F168AF" w:rsidP="0003039D">
      <w:r w:rsidRPr="00D61D23">
        <w:t xml:space="preserve">Hvis du ikke vil ha avbrudd i </w:t>
      </w:r>
      <w:r w:rsidR="00C554D0" w:rsidRPr="00D61D23">
        <w:t xml:space="preserve">spesialistgodkjenningen, må </w:t>
      </w:r>
      <w:r w:rsidRPr="00D61D23">
        <w:t xml:space="preserve">du </w:t>
      </w:r>
      <w:r w:rsidR="00C554D0" w:rsidRPr="00D61D23">
        <w:t>sende inn søknad om fornyet godkjenning</w:t>
      </w:r>
      <w:r w:rsidRPr="00D61D23">
        <w:t xml:space="preserve"> i god tid før den utløper</w:t>
      </w:r>
      <w:r w:rsidR="00C554D0" w:rsidRPr="00D61D23">
        <w:t>. Det søkes om fornyet godkjenning på eget skjema.  Når søknaden er klar med vedlegg, må den sendes som vanlig brev. Dette er fordi NM</w:t>
      </w:r>
      <w:r w:rsidR="00717F7C" w:rsidRPr="00D61D23">
        <w:t>F</w:t>
      </w:r>
      <w:r w:rsidR="00C554D0" w:rsidRPr="00D61D23">
        <w:t xml:space="preserve"> trenger din originale underskrift på søknaden og bekreftet kopi av alle vedleggene med stempel og underskrift fra et offentlig kontor (bibliotek, kommuneadministrasjon, politi, sykehus </w:t>
      </w:r>
      <w:proofErr w:type="spellStart"/>
      <w:r w:rsidR="00C554D0" w:rsidRPr="00D61D23">
        <w:t>m.v</w:t>
      </w:r>
      <w:proofErr w:type="spellEnd"/>
      <w:r w:rsidR="00C554D0" w:rsidRPr="00D61D23">
        <w:t xml:space="preserve">.). </w:t>
      </w:r>
    </w:p>
    <w:p w14:paraId="4A8F675F" w14:textId="77777777" w:rsidR="0035325A" w:rsidRPr="00D61D23" w:rsidRDefault="0035325A" w:rsidP="0003039D"/>
    <w:p w14:paraId="7A7D8C10" w14:textId="77777777" w:rsidR="0035325A" w:rsidRPr="00D61D23" w:rsidRDefault="00C554D0" w:rsidP="007754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61D23">
        <w:t>Brevet sti</w:t>
      </w:r>
      <w:r w:rsidR="00DE6781" w:rsidRPr="00D61D23">
        <w:t>l</w:t>
      </w:r>
      <w:r w:rsidRPr="00D61D23">
        <w:t xml:space="preserve">es til: </w:t>
      </w:r>
    </w:p>
    <w:p w14:paraId="3D7338E0" w14:textId="77777777" w:rsidR="0035325A" w:rsidRPr="00D61D23" w:rsidRDefault="00C554D0" w:rsidP="007754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61D23">
        <w:t>N</w:t>
      </w:r>
      <w:r w:rsidR="00B36577" w:rsidRPr="00D61D23">
        <w:t xml:space="preserve">orsk </w:t>
      </w:r>
      <w:r w:rsidRPr="00D61D23">
        <w:t>M</w:t>
      </w:r>
      <w:r w:rsidR="00B36577" w:rsidRPr="00D61D23">
        <w:t>anuellterapeutforening</w:t>
      </w:r>
      <w:r w:rsidR="0035325A" w:rsidRPr="00D61D23">
        <w:t xml:space="preserve">, Spesialistordningen </w:t>
      </w:r>
    </w:p>
    <w:p w14:paraId="0859B4FB" w14:textId="77777777" w:rsidR="0035325A" w:rsidRPr="00D61D23" w:rsidRDefault="00DE6781" w:rsidP="007754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D61D23">
        <w:t>Torggata 12</w:t>
      </w:r>
      <w:r w:rsidR="00B36577" w:rsidRPr="00D61D23">
        <w:t xml:space="preserve">, </w:t>
      </w:r>
      <w:r w:rsidR="00813985" w:rsidRPr="00D61D23">
        <w:t xml:space="preserve">0181 Oslo </w:t>
      </w:r>
    </w:p>
    <w:p w14:paraId="6D342539" w14:textId="46B6CD13" w:rsidR="00C10B4E" w:rsidRPr="00D61D23" w:rsidRDefault="00C554D0" w:rsidP="00C10B4E">
      <w:r w:rsidRPr="00D61D23">
        <w:rPr>
          <w:b/>
          <w:bCs/>
        </w:rPr>
        <w:br/>
      </w:r>
      <w:r w:rsidRPr="00D61D23">
        <w:t>Søknad om fornyet godkjenning vil bli behandlet av NM</w:t>
      </w:r>
      <w:r w:rsidR="00717F7C" w:rsidRPr="00D61D23">
        <w:t>F</w:t>
      </w:r>
      <w:r w:rsidRPr="00D61D23">
        <w:t>s spesialistutvalgs sekretariat. Bare i tvilstilfeller, eller der det må gjøres endringer av prinsipiell karakter, drøftes søknaden med NM</w:t>
      </w:r>
      <w:r w:rsidR="00717F7C" w:rsidRPr="00D61D23">
        <w:t>F</w:t>
      </w:r>
      <w:r w:rsidRPr="00D61D23">
        <w:t xml:space="preserve">s spesialistutvalg. Det er opp til spesialisten selv å argumentere for hvorfor </w:t>
      </w:r>
      <w:r w:rsidRPr="00D61D23">
        <w:br/>
        <w:t xml:space="preserve">etter- og videreutdannings-timer bør godkjennes, dersom det skulle oppstå tvil om dette. </w:t>
      </w:r>
      <w:r w:rsidRPr="00D61D23">
        <w:br/>
      </w:r>
      <w:r w:rsidRPr="00D61D23">
        <w:br/>
        <w:t xml:space="preserve">Dersom en ikke får fornyet godkjenningen, mister </w:t>
      </w:r>
      <w:r w:rsidR="00D770B4">
        <w:t>man</w:t>
      </w:r>
      <w:r w:rsidRPr="00D61D23">
        <w:t xml:space="preserve"> retten til å kalle seg </w:t>
      </w:r>
      <w:r w:rsidR="00897446" w:rsidRPr="00D61D23">
        <w:t>«</w:t>
      </w:r>
      <w:r w:rsidRPr="00D61D23">
        <w:t xml:space="preserve">spesialist </w:t>
      </w:r>
      <w:r w:rsidR="00897446" w:rsidRPr="00D61D23">
        <w:t>M</w:t>
      </w:r>
      <w:r w:rsidR="00336593" w:rsidRPr="00D61D23">
        <w:t>NM</w:t>
      </w:r>
      <w:r w:rsidR="00717F7C" w:rsidRPr="00D61D23">
        <w:t>F</w:t>
      </w:r>
      <w:r w:rsidR="00897446" w:rsidRPr="00D61D23">
        <w:t>»</w:t>
      </w:r>
      <w:r w:rsidRPr="00D61D23">
        <w:t>. Avslag på søknad om fornyet godkjenning kan ankes til styret i NM</w:t>
      </w:r>
      <w:r w:rsidR="00717F7C" w:rsidRPr="00D61D23">
        <w:t>F</w:t>
      </w:r>
      <w:r w:rsidRPr="00D61D23">
        <w:t xml:space="preserve"> etter samme regler som avslag på søknad om godkjenning. </w:t>
      </w:r>
      <w:r w:rsidRPr="00D61D23">
        <w:br/>
      </w:r>
      <w:r w:rsidRPr="00D61D23">
        <w:br/>
        <w:t xml:space="preserve">Dersom en spesialist ikke tilfredsstiller kravene til fornyet godkjenning, må vedkommende først tilfredsstille disse kravene, før hun/han igjen kan søke om godkjenning. </w:t>
      </w:r>
      <w:r w:rsidRPr="00D61D23">
        <w:br/>
      </w:r>
    </w:p>
    <w:p w14:paraId="0A34D6D6" w14:textId="249E6FCF" w:rsidR="00C554D0" w:rsidRPr="00D61D23" w:rsidRDefault="00B36577" w:rsidP="00C10B4E">
      <w:r w:rsidRPr="00D61D23">
        <w:t xml:space="preserve">Godkjenningen som spesialist </w:t>
      </w:r>
      <w:r w:rsidR="00F168AF" w:rsidRPr="00D61D23">
        <w:t xml:space="preserve">gjelder i </w:t>
      </w:r>
      <w:r w:rsidRPr="00D61D23">
        <w:t>7. år</w:t>
      </w:r>
    </w:p>
    <w:p w14:paraId="28227D3A" w14:textId="77777777" w:rsidR="00B36577" w:rsidRPr="00D61D23" w:rsidRDefault="00B36577" w:rsidP="0003039D"/>
    <w:p w14:paraId="7F3CFF34" w14:textId="6A9ED4D5" w:rsidR="00C10B4E" w:rsidRPr="00D61D23" w:rsidRDefault="00B063BF" w:rsidP="00C10B4E">
      <w:pPr>
        <w:pStyle w:val="Overskrift1"/>
      </w:pPr>
      <w:bookmarkStart w:id="1" w:name="_Toc533093268"/>
      <w:r w:rsidRPr="00D61D23">
        <w:lastRenderedPageBreak/>
        <w:t>SPESIALIST</w:t>
      </w:r>
      <w:r w:rsidR="00B36577" w:rsidRPr="00D61D23">
        <w:t xml:space="preserve">PRAKSIS </w:t>
      </w:r>
      <w:r w:rsidR="0077545E">
        <w:t>–</w:t>
      </w:r>
      <w:r w:rsidR="00B36577" w:rsidRPr="00D61D23">
        <w:t xml:space="preserve"> 2 ÅRSVERK</w:t>
      </w:r>
      <w:bookmarkEnd w:id="1"/>
      <w:r w:rsidR="00B36577" w:rsidRPr="00D61D23">
        <w:t xml:space="preserve"> </w:t>
      </w:r>
    </w:p>
    <w:p w14:paraId="7BC3B373" w14:textId="77777777" w:rsidR="00C5226A" w:rsidRDefault="00B36577" w:rsidP="00C5226A">
      <w:r w:rsidRPr="00D61D23">
        <w:t xml:space="preserve">Søkeren må dokumentere aktiv deltagelse innenfor manuellterapi. Det kreves praksis innen spesialistområdet i minimum 2 årsverk i løpet av de siste 7 årene.  </w:t>
      </w:r>
    </w:p>
    <w:p w14:paraId="2393CD67" w14:textId="77777777" w:rsidR="00C5226A" w:rsidRDefault="00C5226A" w:rsidP="00C5226A"/>
    <w:p w14:paraId="4E2AD75C" w14:textId="783BADA6" w:rsidR="00B36577" w:rsidRPr="00D61D23" w:rsidRDefault="00B36577" w:rsidP="00C5226A">
      <w:r w:rsidRPr="00D61D23">
        <w:t xml:space="preserve">Som praksis vil følgende bli godtatt: </w:t>
      </w:r>
      <w:r w:rsidR="00C5226A">
        <w:br/>
      </w:r>
    </w:p>
    <w:p w14:paraId="5C94D497" w14:textId="77777777" w:rsidR="00B36577" w:rsidRPr="00D61D23" w:rsidRDefault="00B36577" w:rsidP="0003039D">
      <w:pPr>
        <w:pStyle w:val="Listeavsnitt"/>
        <w:numPr>
          <w:ilvl w:val="0"/>
          <w:numId w:val="2"/>
        </w:numPr>
      </w:pPr>
      <w:r w:rsidRPr="00D61D23">
        <w:t xml:space="preserve">Forskning </w:t>
      </w:r>
    </w:p>
    <w:p w14:paraId="54AC7B79" w14:textId="77777777" w:rsidR="00B36577" w:rsidRPr="00D61D23" w:rsidRDefault="00B36577" w:rsidP="0003039D">
      <w:pPr>
        <w:pStyle w:val="Listeavsnitt"/>
        <w:numPr>
          <w:ilvl w:val="0"/>
          <w:numId w:val="2"/>
        </w:numPr>
      </w:pPr>
      <w:r w:rsidRPr="00D61D23">
        <w:t xml:space="preserve">Undervisning </w:t>
      </w:r>
    </w:p>
    <w:p w14:paraId="7809A9E5" w14:textId="77777777" w:rsidR="00B36577" w:rsidRPr="00D61D23" w:rsidRDefault="00B36577" w:rsidP="0003039D">
      <w:pPr>
        <w:pStyle w:val="Listeavsnitt"/>
        <w:numPr>
          <w:ilvl w:val="0"/>
          <w:numId w:val="2"/>
        </w:numPr>
      </w:pPr>
      <w:r w:rsidRPr="00D61D23">
        <w:t xml:space="preserve">Forbyggende arbeid </w:t>
      </w:r>
    </w:p>
    <w:p w14:paraId="25C7A756" w14:textId="2C806EC2" w:rsidR="00B36577" w:rsidRDefault="00B36577" w:rsidP="0003039D">
      <w:pPr>
        <w:pStyle w:val="Listeavsnitt"/>
        <w:numPr>
          <w:ilvl w:val="0"/>
          <w:numId w:val="2"/>
        </w:numPr>
      </w:pPr>
      <w:r w:rsidRPr="00D61D23">
        <w:t xml:space="preserve">Klinisk virksomhet </w:t>
      </w:r>
    </w:p>
    <w:p w14:paraId="5625E310" w14:textId="23521458" w:rsidR="00E74213" w:rsidRPr="00D61D23" w:rsidRDefault="0077545E" w:rsidP="0003039D">
      <w:pPr>
        <w:pStyle w:val="Listeavsnitt"/>
        <w:numPr>
          <w:ilvl w:val="0"/>
          <w:numId w:val="2"/>
        </w:numPr>
      </w:pPr>
      <w:r>
        <w:t>Annen faglig relevant virksomhet</w:t>
      </w:r>
    </w:p>
    <w:p w14:paraId="776B4C81" w14:textId="2481B337" w:rsidR="00B36577" w:rsidRPr="00D61D23" w:rsidRDefault="00C5226A" w:rsidP="0003039D">
      <w:r>
        <w:br/>
      </w:r>
      <w:r w:rsidR="00B36577" w:rsidRPr="00D61D23">
        <w:t xml:space="preserve">Lovfestede permisjoner (sykdom, svangerskap og lignende) fører til at perioden for praksis økes tilsvarende, mens kravet til volum praksis forblir det samme. </w:t>
      </w:r>
    </w:p>
    <w:p w14:paraId="6A62EEE4" w14:textId="77777777" w:rsidR="00B36577" w:rsidRPr="00D61D23" w:rsidRDefault="00B36577" w:rsidP="0003039D">
      <w:pPr>
        <w:rPr>
          <w:b/>
        </w:rPr>
      </w:pPr>
    </w:p>
    <w:p w14:paraId="70738EBF" w14:textId="454DB553" w:rsidR="00B36577" w:rsidRPr="00D61D23" w:rsidRDefault="00B36577" w:rsidP="00D61D23">
      <w:pPr>
        <w:pStyle w:val="Overskrift1"/>
        <w:rPr>
          <w:rStyle w:val="Sterk"/>
          <w:b/>
        </w:rPr>
      </w:pPr>
      <w:bookmarkStart w:id="2" w:name="_Toc533093269"/>
      <w:r w:rsidRPr="00D61D23">
        <w:rPr>
          <w:rStyle w:val="Sterk"/>
          <w:b/>
        </w:rPr>
        <w:t xml:space="preserve">ETTER- OG VIDEREUTDANNING </w:t>
      </w:r>
      <w:r w:rsidR="0077545E">
        <w:rPr>
          <w:rStyle w:val="Sterk"/>
          <w:b/>
        </w:rPr>
        <w:t>–</w:t>
      </w:r>
      <w:r w:rsidRPr="00D61D23">
        <w:rPr>
          <w:rStyle w:val="Sterk"/>
          <w:b/>
        </w:rPr>
        <w:t xml:space="preserve"> 100 TIMER</w:t>
      </w:r>
      <w:bookmarkEnd w:id="2"/>
      <w:r w:rsidRPr="00D61D23">
        <w:rPr>
          <w:rStyle w:val="Sterk"/>
          <w:b/>
        </w:rPr>
        <w:t xml:space="preserve"> </w:t>
      </w:r>
    </w:p>
    <w:p w14:paraId="1C382123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 xml:space="preserve">Det kreves 100 timer deltagelse ved relevante kurs, seminarer eller lignende i løpet av de siste 7 årene. </w:t>
      </w:r>
    </w:p>
    <w:p w14:paraId="305BF6FC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 xml:space="preserve">All utdanning og alt prosjektarbeid, må dokumenteres. </w:t>
      </w:r>
    </w:p>
    <w:p w14:paraId="531EEF06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>Også kurs arrangert av andre enn NM</w:t>
      </w:r>
      <w:r w:rsidR="00717F7C" w:rsidRPr="00D61D23">
        <w:t>F</w:t>
      </w:r>
      <w:r w:rsidRPr="00D61D23">
        <w:t xml:space="preserve"> teller, liksom ulike seminarer eller kongresser med relevans til fagområdet. </w:t>
      </w:r>
    </w:p>
    <w:p w14:paraId="64C48BF9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 xml:space="preserve">Søkere som har holdt eget kurs innenfor manuellterapi, får uttelling for kurset en gang. </w:t>
      </w:r>
    </w:p>
    <w:p w14:paraId="633AC4A5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 xml:space="preserve">Frittstående undervisningstimer teller ikke. </w:t>
      </w:r>
    </w:p>
    <w:p w14:paraId="6096CB13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 xml:space="preserve">Dokumentert hospitering og mottatt veiledning innen manuellterapi teller på linje med annen etter- og videreutdanning. </w:t>
      </w:r>
    </w:p>
    <w:p w14:paraId="13F98FA4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>Dokumentert internundervisning innen manuellterapi teller på linje med annen etter- og videreutdanning.</w:t>
      </w:r>
    </w:p>
    <w:p w14:paraId="68084418" w14:textId="77777777" w:rsidR="00B36577" w:rsidRPr="00D61D23" w:rsidRDefault="00B36577" w:rsidP="00C10B4E">
      <w:pPr>
        <w:pStyle w:val="Listeavsnitt"/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D61D23">
        <w:t xml:space="preserve">Søkere som har vært med å utvikle, eller selv har utviklet, kurs innen manuellterapi, får uttelling for dette arbeidet tilsvarende et prosjekt. </w:t>
      </w:r>
    </w:p>
    <w:p w14:paraId="20292B6E" w14:textId="77777777" w:rsidR="00B36577" w:rsidRPr="00D61D23" w:rsidRDefault="00B36577" w:rsidP="00C10B4E">
      <w:pPr>
        <w:ind w:left="1080"/>
      </w:pPr>
      <w:r w:rsidRPr="00D61D23">
        <w:t>Dokumentert prosjektarbeid kan erstatte hele etter- og videreutdanningen.</w:t>
      </w:r>
    </w:p>
    <w:p w14:paraId="6673E536" w14:textId="77777777" w:rsidR="00A96ED7" w:rsidRPr="00D61D23" w:rsidRDefault="00A96ED7" w:rsidP="0003039D"/>
    <w:p w14:paraId="3609E4AB" w14:textId="77777777" w:rsidR="00D61D23" w:rsidRDefault="00D61D23">
      <w:pPr>
        <w:spacing w:line="240" w:lineRule="auto"/>
        <w:ind w:left="0"/>
        <w:rPr>
          <w:rStyle w:val="Hyperkobling"/>
          <w:rFonts w:asciiTheme="minorHAnsi" w:hAnsiTheme="minorHAnsi"/>
          <w:b/>
          <w:color w:val="auto"/>
          <w:sz w:val="32"/>
        </w:rPr>
      </w:pPr>
      <w:r>
        <w:rPr>
          <w:rStyle w:val="Hyperkobling"/>
          <w:rFonts w:asciiTheme="minorHAnsi" w:hAnsiTheme="minorHAnsi"/>
          <w:color w:val="auto"/>
        </w:rPr>
        <w:br w:type="page"/>
      </w:r>
    </w:p>
    <w:p w14:paraId="072D490C" w14:textId="7528DAE1" w:rsidR="00A96ED7" w:rsidRPr="00D61D23" w:rsidRDefault="0023644A" w:rsidP="00D61D23">
      <w:pPr>
        <w:pStyle w:val="Overskrift1"/>
      </w:pPr>
      <w:hyperlink r:id="rId9" w:history="1">
        <w:bookmarkStart w:id="3" w:name="_Toc533093270"/>
        <w:r w:rsidR="00A96ED7" w:rsidRPr="00D61D23">
          <w:rPr>
            <w:rStyle w:val="Hyperkobling"/>
            <w:rFonts w:asciiTheme="minorHAnsi" w:hAnsiTheme="minorHAnsi"/>
            <w:color w:val="auto"/>
          </w:rPr>
          <w:t>PRAKSISORIENTERT KOLLEGASAMARBEID</w:t>
        </w:r>
      </w:hyperlink>
      <w:r w:rsidR="00A96ED7" w:rsidRPr="00D61D23">
        <w:t xml:space="preserve"> </w:t>
      </w:r>
      <w:r w:rsidR="003C4205">
        <w:br/>
      </w:r>
      <w:r w:rsidR="00510E26" w:rsidRPr="00D61D23">
        <w:t>–</w:t>
      </w:r>
      <w:r w:rsidR="00A96ED7" w:rsidRPr="00D61D23">
        <w:t xml:space="preserve"> </w:t>
      </w:r>
      <w:r w:rsidR="00510E26" w:rsidRPr="00D61D23">
        <w:t xml:space="preserve">TIL SAMMEN </w:t>
      </w:r>
      <w:r w:rsidR="00A96ED7" w:rsidRPr="00D61D23">
        <w:t>80 TIMER</w:t>
      </w:r>
      <w:bookmarkEnd w:id="3"/>
      <w:r w:rsidR="00A96ED7" w:rsidRPr="00D61D23">
        <w:t xml:space="preserve"> </w:t>
      </w:r>
    </w:p>
    <w:p w14:paraId="6F581192" w14:textId="7E57701F" w:rsidR="00A96ED7" w:rsidRPr="00D61D23" w:rsidRDefault="00A96ED7" w:rsidP="003C4205">
      <w:r w:rsidRPr="00D61D23">
        <w:t xml:space="preserve">Til sammen skal en ha 80 timer praksisorientert kollegasamarbeid i løpet av de </w:t>
      </w:r>
      <w:r w:rsidR="00F168AF" w:rsidRPr="00D61D23">
        <w:t>siste 7</w:t>
      </w:r>
      <w:r w:rsidRPr="00D61D23">
        <w:t xml:space="preserve"> årene. </w:t>
      </w:r>
    </w:p>
    <w:p w14:paraId="70BB8B8F" w14:textId="77777777" w:rsidR="003C4205" w:rsidRDefault="00A96ED7" w:rsidP="003C4205">
      <w:r w:rsidRPr="00D61D23">
        <w:t xml:space="preserve">Timene skal fordeles over hele perioden uten at det kreves noen streng regelmessighet i aktiviteten. </w:t>
      </w:r>
    </w:p>
    <w:p w14:paraId="6DB16023" w14:textId="3FB6AF20" w:rsidR="00A96ED7" w:rsidRDefault="00510E26" w:rsidP="003C4205">
      <w:r w:rsidRPr="00D61D23">
        <w:t>Praksisorientert k</w:t>
      </w:r>
      <w:r w:rsidR="00A96ED7" w:rsidRPr="00D61D23">
        <w:t xml:space="preserve">ollegasamarbeid utgjøres av tre ulike former for samvær: </w:t>
      </w:r>
    </w:p>
    <w:p w14:paraId="335FFA1D" w14:textId="77777777" w:rsidR="00D61D23" w:rsidRPr="00D61D23" w:rsidRDefault="00D61D23" w:rsidP="0003039D"/>
    <w:p w14:paraId="48C2054B" w14:textId="67C09B13" w:rsidR="00A96ED7" w:rsidRPr="003C4205" w:rsidRDefault="00A96ED7" w:rsidP="003C4205">
      <w:pPr>
        <w:pStyle w:val="Undertittel"/>
        <w:rPr>
          <w:smallCaps/>
        </w:rPr>
      </w:pPr>
      <w:r w:rsidRPr="003C4205">
        <w:rPr>
          <w:smallCaps/>
        </w:rPr>
        <w:t xml:space="preserve">1. Kollegaveiledningsgrupper </w:t>
      </w:r>
      <w:r w:rsidR="0077545E" w:rsidRPr="003C4205">
        <w:rPr>
          <w:smallCaps/>
        </w:rPr>
        <w:t>– 17 timer</w:t>
      </w:r>
    </w:p>
    <w:p w14:paraId="5651DB59" w14:textId="77777777" w:rsidR="00A96ED7" w:rsidRPr="00D61D23" w:rsidRDefault="00A96ED7" w:rsidP="0003039D">
      <w:pPr>
        <w:pStyle w:val="Listeavsnitt"/>
        <w:numPr>
          <w:ilvl w:val="0"/>
          <w:numId w:val="6"/>
        </w:numPr>
      </w:pPr>
      <w:r w:rsidRPr="00D61D23">
        <w:t>Som del av kollegasamarbeidet må en delta i en kollegaveiledningsgruppe</w:t>
      </w:r>
    </w:p>
    <w:p w14:paraId="1D58BBA7" w14:textId="77777777" w:rsidR="00A96ED7" w:rsidRPr="00D61D23" w:rsidRDefault="00A96ED7" w:rsidP="0003039D">
      <w:pPr>
        <w:pStyle w:val="Listeavsnitt"/>
        <w:numPr>
          <w:ilvl w:val="0"/>
          <w:numId w:val="6"/>
        </w:numPr>
      </w:pPr>
      <w:r w:rsidRPr="00D61D23">
        <w:t xml:space="preserve">Kravet til fornyet godkjenning er deltakelse minst en omgang (17 timer) </w:t>
      </w:r>
    </w:p>
    <w:p w14:paraId="7023B2BB" w14:textId="77777777" w:rsidR="00A96ED7" w:rsidRPr="00D61D23" w:rsidRDefault="00A96ED7" w:rsidP="0003039D">
      <w:pPr>
        <w:pStyle w:val="Listeavsnitt"/>
        <w:numPr>
          <w:ilvl w:val="0"/>
          <w:numId w:val="6"/>
        </w:numPr>
      </w:pPr>
      <w:r w:rsidRPr="00D61D23">
        <w:t>En kan maksimalt få godkjent 48 timer fra kollegaveiledningsgrupper som del av ajourføringen</w:t>
      </w:r>
      <w:r w:rsidR="00DB78CE" w:rsidRPr="00D61D23">
        <w:t xml:space="preserve">. </w:t>
      </w:r>
    </w:p>
    <w:p w14:paraId="554EEC54" w14:textId="6CC91A41" w:rsidR="00DA0995" w:rsidRPr="003D5D02" w:rsidRDefault="00DA0995" w:rsidP="0003039D">
      <w:pPr>
        <w:pStyle w:val="NormalWeb"/>
        <w:rPr>
          <w:i/>
        </w:rPr>
      </w:pPr>
      <w:r w:rsidRPr="003D5D02">
        <w:rPr>
          <w:i/>
        </w:rPr>
        <w:t xml:space="preserve">For </w:t>
      </w:r>
      <w:r w:rsidR="005B186A" w:rsidRPr="003D5D02">
        <w:rPr>
          <w:i/>
        </w:rPr>
        <w:t xml:space="preserve">informasjon om faglig innhold og arbeidsformer i kollegaveiledningsgrupper, se dokumentet </w:t>
      </w:r>
      <w:r w:rsidR="003D32F0" w:rsidRPr="003D5D02">
        <w:rPr>
          <w:i/>
        </w:rPr>
        <w:t xml:space="preserve">«Krav til spesialister </w:t>
      </w:r>
      <w:r w:rsidR="003D5D02" w:rsidRPr="003D5D02">
        <w:rPr>
          <w:i/>
        </w:rPr>
        <w:t xml:space="preserve">i Norsk Manuellterapeutforening». </w:t>
      </w:r>
    </w:p>
    <w:p w14:paraId="5115E51C" w14:textId="7D8D0FC1" w:rsidR="00A96ED7" w:rsidRPr="003C4205" w:rsidRDefault="00A96ED7" w:rsidP="003C4205">
      <w:pPr>
        <w:pStyle w:val="Undertittel"/>
        <w:rPr>
          <w:smallCaps/>
        </w:rPr>
      </w:pPr>
      <w:r w:rsidRPr="003C4205">
        <w:rPr>
          <w:smallCaps/>
        </w:rPr>
        <w:t xml:space="preserve">2. Kollegabaserte samlinger </w:t>
      </w:r>
    </w:p>
    <w:p w14:paraId="500341E1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Både seminarer/workshops med aktiv deltakelse av spesialistene og mer uformell gruppeaktivitet blir godtatt som kollegabaserte samlinger </w:t>
      </w:r>
    </w:p>
    <w:p w14:paraId="2803455B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Arbeidsformen i begge typene samlinger krever hele tiden egenaktivitet hos deltakerne </w:t>
      </w:r>
    </w:p>
    <w:p w14:paraId="20888E20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Det skal legges vekt på refleksjon over eget arbeid, teoretisk og klinisk </w:t>
      </w:r>
    </w:p>
    <w:p w14:paraId="31C121D7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Varigheten er minimum to timer pr. gang </w:t>
      </w:r>
    </w:p>
    <w:p w14:paraId="593C0221" w14:textId="1EDFB65D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Antallet deltakere kan variere, men bør ligge mellom fire og åtte </w:t>
      </w:r>
    </w:p>
    <w:p w14:paraId="6E2AA1B3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På samlinger der antallet overskrider åtte, kan en dele deltakerne inn i flere grupper </w:t>
      </w:r>
    </w:p>
    <w:p w14:paraId="748A3793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Samlinger kan ha fellesdeler og oppsummeringer, men forelesninger vil ikke bli godkjent som kollegabaserte samlinger </w:t>
      </w:r>
    </w:p>
    <w:p w14:paraId="758303CD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 xml:space="preserve">Ledelse og valg av faglig innhold bør gå på omgang mellom deltakerne </w:t>
      </w:r>
    </w:p>
    <w:p w14:paraId="3E35C3FD" w14:textId="385413E0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>Innholdet kan for eksempel ta utgangspunkt i kasuistikker der en setter søkelys på den enkeltes arbeid med pasienten, familien</w:t>
      </w:r>
      <w:r w:rsidR="00F168AF" w:rsidRPr="00D61D23">
        <w:t>,</w:t>
      </w:r>
      <w:r w:rsidRPr="00D61D23">
        <w:t xml:space="preserve"> tverrfaglig samarbeid og samfunnsmessige forhold som påvirker arbeidet </w:t>
      </w:r>
    </w:p>
    <w:p w14:paraId="2FAC85C5" w14:textId="0C8B4541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>Det kan bli presentert ny litteratur på spesialistområdet, diskusjon av ulike forskningsprosjekter, presentasjonsformer osv</w:t>
      </w:r>
      <w:r w:rsidR="00F168AF" w:rsidRPr="00D61D23">
        <w:t>.</w:t>
      </w:r>
      <w:r w:rsidRPr="00D61D23">
        <w:t xml:space="preserve"> </w:t>
      </w:r>
    </w:p>
    <w:p w14:paraId="0894ADA3" w14:textId="77777777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>Samlingene må dokumenteres med program, referat og beskrivelse av arbeidsform</w:t>
      </w:r>
    </w:p>
    <w:p w14:paraId="4AD5FC3D" w14:textId="13F7EF0B" w:rsidR="00A96ED7" w:rsidRPr="00D61D23" w:rsidRDefault="00A96ED7" w:rsidP="0003039D">
      <w:pPr>
        <w:pStyle w:val="Listeavsnitt"/>
        <w:numPr>
          <w:ilvl w:val="0"/>
          <w:numId w:val="7"/>
        </w:numPr>
      </w:pPr>
      <w:r w:rsidRPr="00D61D23">
        <w:t>Tidsbruk og skriftlig materiale må bekreftes med underskrift av samtlige deltakere</w:t>
      </w:r>
      <w:r w:rsidR="003C4205">
        <w:br/>
      </w:r>
    </w:p>
    <w:p w14:paraId="0E3A8894" w14:textId="6E883E07" w:rsidR="00A96ED7" w:rsidRPr="003C4205" w:rsidRDefault="00A96ED7" w:rsidP="003C4205">
      <w:pPr>
        <w:pStyle w:val="Undertittel"/>
        <w:rPr>
          <w:smallCaps/>
        </w:rPr>
      </w:pPr>
      <w:r w:rsidRPr="003C4205">
        <w:rPr>
          <w:smallCaps/>
        </w:rPr>
        <w:lastRenderedPageBreak/>
        <w:t>3.</w:t>
      </w:r>
      <w:r w:rsidR="004A625A" w:rsidRPr="003C4205">
        <w:rPr>
          <w:smallCaps/>
        </w:rPr>
        <w:t xml:space="preserve"> </w:t>
      </w:r>
      <w:r w:rsidRPr="003C4205">
        <w:rPr>
          <w:smallCaps/>
        </w:rPr>
        <w:t xml:space="preserve">Veiledning og </w:t>
      </w:r>
      <w:r w:rsidR="006A4803" w:rsidRPr="003C4205">
        <w:rPr>
          <w:smallCaps/>
        </w:rPr>
        <w:t>gjensidig praksisbesøk</w:t>
      </w:r>
      <w:r w:rsidRPr="003C4205">
        <w:rPr>
          <w:smallCaps/>
        </w:rPr>
        <w:t xml:space="preserve"> </w:t>
      </w:r>
      <w:r w:rsidR="003B4A09">
        <w:rPr>
          <w:smallCaps/>
        </w:rPr>
        <w:t xml:space="preserve">– Inntil </w:t>
      </w:r>
      <w:r w:rsidR="00705C00">
        <w:rPr>
          <w:smallCaps/>
        </w:rPr>
        <w:t>30 timer</w:t>
      </w:r>
    </w:p>
    <w:p w14:paraId="76965620" w14:textId="77777777" w:rsidR="00A96ED7" w:rsidRPr="00D61D23" w:rsidRDefault="00A96ED7" w:rsidP="0003039D">
      <w:pPr>
        <w:pStyle w:val="Listeavsnitt"/>
        <w:numPr>
          <w:ilvl w:val="0"/>
          <w:numId w:val="8"/>
        </w:numPr>
      </w:pPr>
      <w:r w:rsidRPr="00D61D23">
        <w:t>Inntil 30 av de resterende timene kan dekkes av veiledning fra annen profesjon eller innen et annet fagområde enn der en er spesialist, dersom dette er relevant for manuellterapi</w:t>
      </w:r>
    </w:p>
    <w:p w14:paraId="00730AF5" w14:textId="77777777" w:rsidR="00A96ED7" w:rsidRPr="00D61D23" w:rsidRDefault="006A4803" w:rsidP="0003039D">
      <w:pPr>
        <w:pStyle w:val="Listeavsnitt"/>
        <w:numPr>
          <w:ilvl w:val="0"/>
          <w:numId w:val="8"/>
        </w:numPr>
      </w:pPr>
      <w:r w:rsidRPr="00D61D23">
        <w:t xml:space="preserve">Gjensidige praksisbesøk </w:t>
      </w:r>
      <w:r w:rsidR="00A96ED7" w:rsidRPr="00D61D23">
        <w:t xml:space="preserve">hos kolleger i inn- og utland vil være tellende </w:t>
      </w:r>
    </w:p>
    <w:p w14:paraId="5877F9E5" w14:textId="2D131491" w:rsidR="00A96ED7" w:rsidRPr="00D61D23" w:rsidRDefault="00A96ED7" w:rsidP="0003039D">
      <w:pPr>
        <w:pStyle w:val="Listeavsnitt"/>
        <w:numPr>
          <w:ilvl w:val="0"/>
          <w:numId w:val="8"/>
        </w:numPr>
      </w:pPr>
      <w:r w:rsidRPr="00D61D23">
        <w:t xml:space="preserve">Veiledning og </w:t>
      </w:r>
      <w:r w:rsidR="006A4803" w:rsidRPr="00D61D23">
        <w:t xml:space="preserve">gjensidige praksisbesøk </w:t>
      </w:r>
      <w:r w:rsidRPr="00D61D23">
        <w:t>som del av praksisorientert kollegasamarbeid kjennetegnes ved at det er så få spesialister som får veiledning/</w:t>
      </w:r>
      <w:r w:rsidR="006A4803" w:rsidRPr="00D61D23">
        <w:t>besøk</w:t>
      </w:r>
      <w:r w:rsidRPr="00D61D23">
        <w:t xml:space="preserve">, at det er mulig for spesialisten å delta aktivt i opplegget </w:t>
      </w:r>
    </w:p>
    <w:p w14:paraId="0DBABC6F" w14:textId="7FFB79D1" w:rsidR="0035325A" w:rsidRPr="00D61D23" w:rsidRDefault="00A96ED7" w:rsidP="0003039D">
      <w:pPr>
        <w:pStyle w:val="Listeavsnitt"/>
        <w:numPr>
          <w:ilvl w:val="0"/>
          <w:numId w:val="8"/>
        </w:numPr>
      </w:pPr>
      <w:r w:rsidRPr="00D61D23">
        <w:t>Veiledning/</w:t>
      </w:r>
      <w:r w:rsidR="006A4803" w:rsidRPr="00D61D23">
        <w:t xml:space="preserve">gjensidig praksisbesøk </w:t>
      </w:r>
      <w:r w:rsidRPr="00D61D23">
        <w:t>må dokumenteres time for time av veilederen med beskrivelse av temaet som ble tatt opp, varighet og antallet spesialister som delto</w:t>
      </w:r>
      <w:r w:rsidR="006A4803" w:rsidRPr="00D61D23">
        <w:t>k.</w:t>
      </w:r>
    </w:p>
    <w:p w14:paraId="1A16563A" w14:textId="77777777" w:rsidR="003C4205" w:rsidRDefault="003C4205" w:rsidP="0003039D">
      <w:pPr>
        <w:rPr>
          <w:b/>
        </w:rPr>
      </w:pPr>
    </w:p>
    <w:p w14:paraId="03230077" w14:textId="2F603469" w:rsidR="00261DE8" w:rsidRPr="00D61D23" w:rsidRDefault="00261DE8" w:rsidP="0003039D">
      <w:r w:rsidRPr="00D61D23">
        <w:rPr>
          <w:b/>
        </w:rPr>
        <w:t>Oppsummert</w:t>
      </w:r>
      <w:r w:rsidRPr="00D61D23">
        <w:rPr>
          <w:b/>
        </w:rPr>
        <w:br/>
      </w:r>
      <w:bookmarkStart w:id="4" w:name="_GoBack"/>
      <w:bookmarkEnd w:id="4"/>
      <w:r w:rsidRPr="00D61D23">
        <w:t xml:space="preserve">Alle må ha deltatt i kollegaveiledningsgruppe minimum 17 timer. </w:t>
      </w:r>
      <w:r w:rsidR="007B49BA">
        <w:br/>
      </w:r>
      <w:r w:rsidRPr="00D61D23">
        <w:t xml:space="preserve">De resterende 63 timene kan bestå av «Kollegabaserte samlinger» og maksimum 30 timer «Veiledning og gjensidig praksisbesøk». </w:t>
      </w:r>
    </w:p>
    <w:p w14:paraId="6D7D3165" w14:textId="77777777" w:rsidR="0080121B" w:rsidRPr="00D61D23" w:rsidRDefault="0080121B" w:rsidP="0003039D"/>
    <w:sectPr w:rsidR="0080121B" w:rsidRPr="00D61D23" w:rsidSect="00222F9D">
      <w:footerReference w:type="even" r:id="rId10"/>
      <w:footerReference w:type="default" r:id="rId11"/>
      <w:pgSz w:w="12240" w:h="15840"/>
      <w:pgMar w:top="1440" w:right="1800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FBC5" w14:textId="77777777" w:rsidR="00EE7557" w:rsidRDefault="00EE7557" w:rsidP="0003039D">
      <w:r>
        <w:separator/>
      </w:r>
    </w:p>
  </w:endnote>
  <w:endnote w:type="continuationSeparator" w:id="0">
    <w:p w14:paraId="04C506C5" w14:textId="77777777" w:rsidR="00EE7557" w:rsidRDefault="00EE7557" w:rsidP="0003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5AA6" w14:textId="77777777" w:rsidR="00EA6FC5" w:rsidRDefault="00EA6FC5" w:rsidP="0003039D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94A926F" w14:textId="77777777" w:rsidR="00EA6FC5" w:rsidRDefault="00EA6FC5" w:rsidP="000303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844685"/>
      <w:docPartObj>
        <w:docPartGallery w:val="Page Numbers (Bottom of Page)"/>
        <w:docPartUnique/>
      </w:docPartObj>
    </w:sdtPr>
    <w:sdtEndPr/>
    <w:sdtContent>
      <w:p w14:paraId="242D2878" w14:textId="196ABC5E" w:rsidR="00695FED" w:rsidRDefault="00695FE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E2BDE" w14:textId="77777777" w:rsidR="00EA6FC5" w:rsidRDefault="00EA6FC5" w:rsidP="000303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0DDD" w14:textId="77777777" w:rsidR="00EE7557" w:rsidRDefault="00EE7557" w:rsidP="0003039D">
      <w:r>
        <w:separator/>
      </w:r>
    </w:p>
  </w:footnote>
  <w:footnote w:type="continuationSeparator" w:id="0">
    <w:p w14:paraId="56996392" w14:textId="77777777" w:rsidR="00EE7557" w:rsidRDefault="00EE7557" w:rsidP="0003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3E6"/>
    <w:multiLevelType w:val="multilevel"/>
    <w:tmpl w:val="1358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949DE"/>
    <w:multiLevelType w:val="multilevel"/>
    <w:tmpl w:val="21669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62AAF"/>
    <w:multiLevelType w:val="multilevel"/>
    <w:tmpl w:val="5D063F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A7CE4"/>
    <w:multiLevelType w:val="multilevel"/>
    <w:tmpl w:val="0CA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87C32"/>
    <w:multiLevelType w:val="hybridMultilevel"/>
    <w:tmpl w:val="C6683A8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E0093"/>
    <w:multiLevelType w:val="hybridMultilevel"/>
    <w:tmpl w:val="8B8AD73C"/>
    <w:lvl w:ilvl="0" w:tplc="04140019">
      <w:start w:val="1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516D116E"/>
    <w:multiLevelType w:val="multilevel"/>
    <w:tmpl w:val="B5D08F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007F1"/>
    <w:multiLevelType w:val="hybridMultilevel"/>
    <w:tmpl w:val="B4CC6C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FA2EEF"/>
    <w:multiLevelType w:val="multilevel"/>
    <w:tmpl w:val="771CED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71DDC"/>
    <w:multiLevelType w:val="multilevel"/>
    <w:tmpl w:val="7DA4A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938E0"/>
    <w:multiLevelType w:val="hybridMultilevel"/>
    <w:tmpl w:val="7626F2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676BF7"/>
    <w:multiLevelType w:val="multilevel"/>
    <w:tmpl w:val="7DD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D0"/>
    <w:rsid w:val="00001409"/>
    <w:rsid w:val="0003039D"/>
    <w:rsid w:val="000F3156"/>
    <w:rsid w:val="0017497A"/>
    <w:rsid w:val="001C7CDE"/>
    <w:rsid w:val="001F0816"/>
    <w:rsid w:val="002066DE"/>
    <w:rsid w:val="00222F9D"/>
    <w:rsid w:val="00230651"/>
    <w:rsid w:val="0023535A"/>
    <w:rsid w:val="0023644A"/>
    <w:rsid w:val="00254513"/>
    <w:rsid w:val="00261DE8"/>
    <w:rsid w:val="002863B8"/>
    <w:rsid w:val="0029142A"/>
    <w:rsid w:val="002B2A64"/>
    <w:rsid w:val="002C1FF6"/>
    <w:rsid w:val="002E4B31"/>
    <w:rsid w:val="003168C3"/>
    <w:rsid w:val="00336593"/>
    <w:rsid w:val="00344148"/>
    <w:rsid w:val="0035325A"/>
    <w:rsid w:val="003B4A09"/>
    <w:rsid w:val="003C4205"/>
    <w:rsid w:val="003D32F0"/>
    <w:rsid w:val="003D5D02"/>
    <w:rsid w:val="00485400"/>
    <w:rsid w:val="004A625A"/>
    <w:rsid w:val="00510E26"/>
    <w:rsid w:val="00567227"/>
    <w:rsid w:val="005A70D2"/>
    <w:rsid w:val="005A7B1F"/>
    <w:rsid w:val="005B186A"/>
    <w:rsid w:val="00622CC7"/>
    <w:rsid w:val="00630B46"/>
    <w:rsid w:val="00652111"/>
    <w:rsid w:val="006949D6"/>
    <w:rsid w:val="00695FED"/>
    <w:rsid w:val="006A4803"/>
    <w:rsid w:val="00705C00"/>
    <w:rsid w:val="007103E2"/>
    <w:rsid w:val="00717F7C"/>
    <w:rsid w:val="00746EF1"/>
    <w:rsid w:val="0077545E"/>
    <w:rsid w:val="007B49BA"/>
    <w:rsid w:val="007D2CA4"/>
    <w:rsid w:val="0080121B"/>
    <w:rsid w:val="0080394D"/>
    <w:rsid w:val="00813985"/>
    <w:rsid w:val="00882BAA"/>
    <w:rsid w:val="00891B01"/>
    <w:rsid w:val="00897446"/>
    <w:rsid w:val="00897757"/>
    <w:rsid w:val="008B5654"/>
    <w:rsid w:val="00952EDE"/>
    <w:rsid w:val="0095589F"/>
    <w:rsid w:val="00987FBC"/>
    <w:rsid w:val="0099783D"/>
    <w:rsid w:val="009D6B4E"/>
    <w:rsid w:val="009F6D51"/>
    <w:rsid w:val="00A152DC"/>
    <w:rsid w:val="00A22A89"/>
    <w:rsid w:val="00A26F38"/>
    <w:rsid w:val="00A96ED7"/>
    <w:rsid w:val="00B063BF"/>
    <w:rsid w:val="00B13DDF"/>
    <w:rsid w:val="00B36577"/>
    <w:rsid w:val="00BD6991"/>
    <w:rsid w:val="00C10B4E"/>
    <w:rsid w:val="00C5226A"/>
    <w:rsid w:val="00C554D0"/>
    <w:rsid w:val="00CB2FF5"/>
    <w:rsid w:val="00D61D23"/>
    <w:rsid w:val="00D770B4"/>
    <w:rsid w:val="00D87D66"/>
    <w:rsid w:val="00D90E58"/>
    <w:rsid w:val="00DA0995"/>
    <w:rsid w:val="00DB715F"/>
    <w:rsid w:val="00DB78CE"/>
    <w:rsid w:val="00DC2502"/>
    <w:rsid w:val="00DE6781"/>
    <w:rsid w:val="00DF2186"/>
    <w:rsid w:val="00E00F9C"/>
    <w:rsid w:val="00E045BE"/>
    <w:rsid w:val="00E25D77"/>
    <w:rsid w:val="00E337FB"/>
    <w:rsid w:val="00E74213"/>
    <w:rsid w:val="00EA6FC5"/>
    <w:rsid w:val="00EE7557"/>
    <w:rsid w:val="00F168AF"/>
    <w:rsid w:val="00F263DE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9FD231"/>
  <w15:chartTrackingRefBased/>
  <w15:docId w15:val="{DADB8A6D-1703-4AA9-A21B-6D60EC51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039D"/>
    <w:pPr>
      <w:spacing w:line="336" w:lineRule="auto"/>
      <w:ind w:left="720"/>
    </w:pPr>
    <w:rPr>
      <w:rFonts w:asciiTheme="minorHAnsi" w:hAnsiTheme="minorHAnsi" w:cstheme="minorHAnsi"/>
      <w:color w:val="000000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03039D"/>
    <w:pPr>
      <w:tabs>
        <w:tab w:val="left" w:pos="720"/>
      </w:tabs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Normal"/>
    <w:rsid w:val="00A152DC"/>
    <w:pPr>
      <w:autoSpaceDE w:val="0"/>
      <w:autoSpaceDN w:val="0"/>
      <w:adjustRightInd w:val="0"/>
      <w:ind w:left="-720"/>
    </w:pPr>
    <w:rPr>
      <w:rFonts w:ascii="Arial" w:hAnsi="Arial" w:cs="Arial"/>
      <w:color w:val="231F20"/>
      <w:sz w:val="18"/>
      <w:szCs w:val="18"/>
    </w:rPr>
  </w:style>
  <w:style w:type="paragraph" w:customStyle="1" w:styleId="fotnote">
    <w:name w:val="fotnote"/>
    <w:rsid w:val="00A152DC"/>
    <w:pPr>
      <w:autoSpaceDE w:val="0"/>
      <w:autoSpaceDN w:val="0"/>
      <w:adjustRightInd w:val="0"/>
      <w:ind w:left="-720"/>
    </w:pPr>
    <w:rPr>
      <w:rFonts w:ascii="Arial" w:hAnsi="Arial" w:cs="Arial"/>
      <w:color w:val="231F20"/>
      <w:sz w:val="18"/>
      <w:szCs w:val="18"/>
      <w:lang w:val="en-US" w:eastAsia="en-US"/>
    </w:rPr>
  </w:style>
  <w:style w:type="paragraph" w:customStyle="1" w:styleId="Mellomtittel">
    <w:name w:val="Mellomtittel"/>
    <w:basedOn w:val="Normal"/>
    <w:rsid w:val="00485400"/>
    <w:pPr>
      <w:widowControl w:val="0"/>
      <w:autoSpaceDE w:val="0"/>
      <w:autoSpaceDN w:val="0"/>
      <w:adjustRightInd w:val="0"/>
      <w:spacing w:line="360" w:lineRule="auto"/>
    </w:pPr>
    <w:rPr>
      <w:b/>
      <w:bCs/>
      <w:lang w:eastAsia="nb-NO"/>
    </w:rPr>
  </w:style>
  <w:style w:type="character" w:styleId="Hyperkobling">
    <w:name w:val="Hyperlink"/>
    <w:uiPriority w:val="99"/>
    <w:rsid w:val="00C554D0"/>
    <w:rPr>
      <w:rFonts w:ascii="Verdana" w:hAnsi="Verdana" w:hint="default"/>
      <w:strike w:val="0"/>
      <w:dstrike w:val="0"/>
      <w:color w:val="0F238C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3168C3"/>
    <w:pPr>
      <w:spacing w:before="100" w:beforeAutospacing="1" w:after="100" w:afterAutospacing="1"/>
    </w:pPr>
    <w:rPr>
      <w:lang w:eastAsia="nb-NO"/>
    </w:rPr>
  </w:style>
  <w:style w:type="paragraph" w:styleId="Rentekst">
    <w:name w:val="Plain Text"/>
    <w:basedOn w:val="Normal"/>
    <w:rsid w:val="003168C3"/>
    <w:rPr>
      <w:rFonts w:ascii="Courier New" w:hAnsi="Courier New"/>
      <w:szCs w:val="20"/>
      <w:lang w:eastAsia="nb-NO"/>
    </w:rPr>
  </w:style>
  <w:style w:type="character" w:styleId="Fulgthyperkobling">
    <w:name w:val="FollowedHyperlink"/>
    <w:rsid w:val="003168C3"/>
    <w:rPr>
      <w:color w:val="800080"/>
      <w:u w:val="single"/>
    </w:rPr>
  </w:style>
  <w:style w:type="paragraph" w:styleId="Bunntekst">
    <w:name w:val="footer"/>
    <w:basedOn w:val="Normal"/>
    <w:link w:val="BunntekstTegn"/>
    <w:uiPriority w:val="99"/>
    <w:rsid w:val="00EA6FC5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EA6FC5"/>
  </w:style>
  <w:style w:type="paragraph" w:styleId="Bobletekst">
    <w:name w:val="Balloon Text"/>
    <w:basedOn w:val="Normal"/>
    <w:link w:val="BobletekstTegn"/>
    <w:rsid w:val="0089744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97446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rsid w:val="008974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9744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9744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8974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97446"/>
    <w:rPr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261DE8"/>
    <w:pPr>
      <w:contextualSpacing/>
    </w:pPr>
  </w:style>
  <w:style w:type="character" w:styleId="Sterk">
    <w:name w:val="Strong"/>
    <w:basedOn w:val="Standardskriftforavsnitt"/>
    <w:qFormat/>
    <w:rsid w:val="00C10B4E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3C4205"/>
    <w:rPr>
      <w:b/>
      <w:sz w:val="24"/>
    </w:rPr>
  </w:style>
  <w:style w:type="character" w:customStyle="1" w:styleId="UndertittelTegn">
    <w:name w:val="Undertittel Tegn"/>
    <w:basedOn w:val="Standardskriftforavsnitt"/>
    <w:link w:val="Undertittel"/>
    <w:rsid w:val="003C4205"/>
    <w:rPr>
      <w:rFonts w:asciiTheme="minorHAnsi" w:hAnsiTheme="minorHAnsi" w:cstheme="minorHAnsi"/>
      <w:b/>
      <w:color w:val="000000"/>
      <w:sz w:val="24"/>
      <w:szCs w:val="24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B5B1F"/>
    <w:pPr>
      <w:keepNext/>
      <w:keepLines/>
      <w:tabs>
        <w:tab w:val="clear" w:pos="720"/>
      </w:tabs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rsid w:val="00882BAA"/>
    <w:pPr>
      <w:tabs>
        <w:tab w:val="right" w:leader="dot" w:pos="9579"/>
      </w:tabs>
      <w:spacing w:after="100"/>
      <w:ind w:left="0"/>
    </w:pPr>
  </w:style>
  <w:style w:type="paragraph" w:styleId="Topptekst">
    <w:name w:val="header"/>
    <w:basedOn w:val="Normal"/>
    <w:link w:val="TopptekstTegn"/>
    <w:rsid w:val="00BD699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BD6991"/>
    <w:rPr>
      <w:rFonts w:asciiTheme="minorHAnsi" w:hAnsiTheme="minorHAnsi" w:cstheme="minorHAnsi"/>
      <w:color w:val="000000"/>
      <w:sz w:val="22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D6991"/>
    <w:rPr>
      <w:rFonts w:asciiTheme="minorHAnsi" w:hAnsiTheme="minorHAnsi" w:cstheme="minorHAnsi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ysio.no/article/view/400/1/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4A9C-309C-49B0-B67C-C4009DE6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NMFs spesialistordning - fornyet godkjenning</vt:lpstr>
    </vt:vector>
  </TitlesOfParts>
  <Company/>
  <LinksUpToDate>false</LinksUpToDate>
  <CharactersWithSpaces>6597</CharactersWithSpaces>
  <SharedDoc>false</SharedDoc>
  <HLinks>
    <vt:vector size="6" baseType="variant"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http://www.fysio.no/article/view/400/1/8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NMFs spesialistordning - fornyet godkjenning</dc:title>
  <dc:subject/>
  <dc:creator>NM</dc:creator>
  <cp:keywords/>
  <dc:description/>
  <cp:lastModifiedBy>Norsk Manuellterapeutforening</cp:lastModifiedBy>
  <cp:revision>2</cp:revision>
  <dcterms:created xsi:type="dcterms:W3CDTF">2019-01-21T15:35:00Z</dcterms:created>
  <dcterms:modified xsi:type="dcterms:W3CDTF">2019-01-21T15:35:00Z</dcterms:modified>
</cp:coreProperties>
</file>